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5E8" w:rsidRPr="00D17888" w:rsidRDefault="001655E8" w:rsidP="001655E8">
      <w:pPr>
        <w:pStyle w:val="Title"/>
        <w:jc w:val="center"/>
      </w:pPr>
      <w:r w:rsidRPr="00D17888">
        <w:t>Explanatory Note</w:t>
      </w:r>
    </w:p>
    <w:p w:rsidR="0059302D" w:rsidRDefault="001655E8" w:rsidP="001655E8">
      <w:pPr>
        <w:pStyle w:val="Title"/>
        <w:jc w:val="center"/>
      </w:pPr>
      <w:r w:rsidRPr="00D17888">
        <w:t xml:space="preserve">Minister for Planning </w:t>
      </w:r>
      <w:r w:rsidR="0059302D">
        <w:t>ABN 38 755 709 681</w:t>
      </w:r>
    </w:p>
    <w:p w:rsidR="00A34760" w:rsidRDefault="001655E8" w:rsidP="001655E8">
      <w:pPr>
        <w:pStyle w:val="Title"/>
        <w:jc w:val="center"/>
      </w:pPr>
      <w:r w:rsidRPr="00D17888">
        <w:t>and</w:t>
      </w:r>
    </w:p>
    <w:p w:rsidR="001655E8" w:rsidRPr="00D17888" w:rsidRDefault="000B4885" w:rsidP="001655E8">
      <w:pPr>
        <w:pStyle w:val="Title"/>
        <w:jc w:val="center"/>
      </w:pPr>
      <w:r>
        <w:t xml:space="preserve">70 River Road Property Pty Ltd ACN 609 329 946 </w:t>
      </w:r>
    </w:p>
    <w:p w:rsidR="001655E8" w:rsidRPr="00D17888" w:rsidRDefault="001655E8" w:rsidP="001655E8">
      <w:pPr>
        <w:pStyle w:val="Title"/>
        <w:jc w:val="center"/>
      </w:pPr>
      <w:r w:rsidRPr="00D17888">
        <w:t>Draft Planning Agreement</w:t>
      </w:r>
    </w:p>
    <w:p w:rsidR="001655E8" w:rsidRPr="00D17888" w:rsidRDefault="001655E8" w:rsidP="001655E8">
      <w:pPr>
        <w:pStyle w:val="Heading9"/>
      </w:pPr>
      <w:r w:rsidRPr="00D17888">
        <w:t>Introduction</w:t>
      </w:r>
    </w:p>
    <w:p w:rsidR="001655E8" w:rsidRPr="00D17888" w:rsidRDefault="001655E8" w:rsidP="001655E8">
      <w:pPr>
        <w:rPr>
          <w:rFonts w:ascii="Arial" w:hAnsi="Arial" w:cs="Arial"/>
          <w:szCs w:val="22"/>
        </w:rPr>
      </w:pPr>
      <w:r w:rsidRPr="00D17888">
        <w:rPr>
          <w:rFonts w:ascii="Arial" w:hAnsi="Arial" w:cs="Arial"/>
          <w:szCs w:val="22"/>
        </w:rPr>
        <w:t xml:space="preserve">The purpose of this explanatory note is to provide a plain English summary to support the notification of the draft planning agreement (the </w:t>
      </w:r>
      <w:r w:rsidRPr="00D17888">
        <w:rPr>
          <w:rFonts w:ascii="Arial" w:hAnsi="Arial" w:cs="Arial"/>
          <w:b/>
          <w:szCs w:val="22"/>
        </w:rPr>
        <w:t>Planning Agreement</w:t>
      </w:r>
      <w:r w:rsidRPr="00D17888">
        <w:rPr>
          <w:rFonts w:ascii="Arial" w:hAnsi="Arial" w:cs="Arial"/>
          <w:szCs w:val="22"/>
        </w:rPr>
        <w:t xml:space="preserve">) prepared under Subdivision 2 of Division 6 of Part 4 of the </w:t>
      </w:r>
      <w:r w:rsidRPr="00D17888">
        <w:rPr>
          <w:rFonts w:ascii="Arial" w:hAnsi="Arial" w:cs="Arial"/>
          <w:i/>
          <w:szCs w:val="22"/>
        </w:rPr>
        <w:t xml:space="preserve">Environmental Planning and Assessment Act </w:t>
      </w:r>
      <w:r w:rsidRPr="00D17888">
        <w:rPr>
          <w:rFonts w:ascii="Arial" w:hAnsi="Arial" w:cs="Arial"/>
          <w:szCs w:val="22"/>
        </w:rPr>
        <w:t xml:space="preserve">1979 (the </w:t>
      </w:r>
      <w:r w:rsidRPr="00D17888">
        <w:rPr>
          <w:rFonts w:ascii="Arial" w:hAnsi="Arial" w:cs="Arial"/>
          <w:b/>
          <w:szCs w:val="22"/>
        </w:rPr>
        <w:t>Act</w:t>
      </w:r>
      <w:r w:rsidRPr="00D17888">
        <w:rPr>
          <w:rFonts w:ascii="Arial" w:hAnsi="Arial" w:cs="Arial"/>
          <w:szCs w:val="22"/>
        </w:rPr>
        <w:t xml:space="preserve">).  </w:t>
      </w:r>
    </w:p>
    <w:p w:rsidR="001655E8" w:rsidRPr="00D17888" w:rsidRDefault="001655E8" w:rsidP="001655E8">
      <w:pPr>
        <w:rPr>
          <w:rFonts w:ascii="Arial" w:hAnsi="Arial" w:cs="Arial"/>
          <w:szCs w:val="22"/>
        </w:rPr>
      </w:pPr>
      <w:r w:rsidRPr="00D17888">
        <w:rPr>
          <w:rFonts w:ascii="Arial" w:hAnsi="Arial" w:cs="Arial"/>
          <w:szCs w:val="22"/>
        </w:rPr>
        <w:t xml:space="preserve">This explanatory note has been prepared jointly by the parties as required by clause 25E of the </w:t>
      </w:r>
      <w:r w:rsidRPr="00D17888">
        <w:rPr>
          <w:rFonts w:ascii="Arial" w:hAnsi="Arial" w:cs="Arial"/>
          <w:i/>
          <w:szCs w:val="22"/>
        </w:rPr>
        <w:t>Environmental Planning and Assessment Regulation</w:t>
      </w:r>
      <w:r w:rsidRPr="00D17888">
        <w:rPr>
          <w:rFonts w:ascii="Arial" w:hAnsi="Arial" w:cs="Arial"/>
          <w:szCs w:val="22"/>
        </w:rPr>
        <w:t xml:space="preserve"> 2000 (the </w:t>
      </w:r>
      <w:r w:rsidRPr="00D17888">
        <w:rPr>
          <w:rFonts w:ascii="Arial" w:hAnsi="Arial" w:cs="Arial"/>
          <w:b/>
          <w:szCs w:val="22"/>
        </w:rPr>
        <w:t>Regulation</w:t>
      </w:r>
      <w:r w:rsidRPr="00D17888">
        <w:rPr>
          <w:rFonts w:ascii="Arial" w:hAnsi="Arial" w:cs="Arial"/>
          <w:szCs w:val="22"/>
        </w:rPr>
        <w:t xml:space="preserve">).  </w:t>
      </w:r>
    </w:p>
    <w:p w:rsidR="001655E8" w:rsidRPr="00D17888" w:rsidRDefault="001655E8" w:rsidP="001655E8">
      <w:pPr>
        <w:pStyle w:val="Heading9"/>
      </w:pPr>
      <w:r w:rsidRPr="00D17888">
        <w:t>Parties to the Planning Agreement</w:t>
      </w:r>
    </w:p>
    <w:p w:rsidR="001655E8" w:rsidRPr="00D17888" w:rsidRDefault="001655E8" w:rsidP="001655E8">
      <w:pPr>
        <w:rPr>
          <w:rFonts w:ascii="Arial" w:hAnsi="Arial" w:cs="Arial"/>
        </w:rPr>
      </w:pPr>
      <w:r w:rsidRPr="00D17888">
        <w:rPr>
          <w:rFonts w:ascii="Arial" w:hAnsi="Arial" w:cs="Arial"/>
        </w:rPr>
        <w:t xml:space="preserve">The parties to the </w:t>
      </w:r>
      <w:r w:rsidRPr="002E5AB9">
        <w:rPr>
          <w:rFonts w:ascii="Arial" w:hAnsi="Arial" w:cs="Arial"/>
        </w:rPr>
        <w:t xml:space="preserve">Planning Agreement are </w:t>
      </w:r>
      <w:r w:rsidR="00724AC4" w:rsidRPr="002E5AB9">
        <w:rPr>
          <w:rFonts w:ascii="Arial" w:hAnsi="Arial" w:cs="Arial"/>
        </w:rPr>
        <w:t xml:space="preserve">the Minister for Planning ABN 38 755 709 681 (the </w:t>
      </w:r>
      <w:r w:rsidR="00724AC4" w:rsidRPr="002E5AB9">
        <w:rPr>
          <w:rFonts w:ascii="Arial" w:hAnsi="Arial" w:cs="Arial"/>
          <w:b/>
        </w:rPr>
        <w:t>Minister</w:t>
      </w:r>
      <w:r w:rsidR="00724AC4" w:rsidRPr="002E5AB9">
        <w:rPr>
          <w:rFonts w:ascii="Arial" w:hAnsi="Arial" w:cs="Arial"/>
        </w:rPr>
        <w:t xml:space="preserve">) and </w:t>
      </w:r>
      <w:r w:rsidR="004E08C8" w:rsidRPr="002E5AB9">
        <w:rPr>
          <w:rFonts w:ascii="Arial" w:hAnsi="Arial" w:cs="Arial"/>
        </w:rPr>
        <w:t>70 River Road Property Pty Ltd (ACN 609 329 946) in its capacity as trustee of 70 River Road Property Unit Trust (ABN 27 422 135 642)</w:t>
      </w:r>
      <w:r w:rsidRPr="002E5AB9">
        <w:rPr>
          <w:rFonts w:ascii="Arial" w:hAnsi="Arial" w:cs="Arial"/>
        </w:rPr>
        <w:t xml:space="preserve"> (the</w:t>
      </w:r>
      <w:r w:rsidRPr="00D17888">
        <w:rPr>
          <w:rFonts w:ascii="Arial" w:hAnsi="Arial" w:cs="Arial"/>
        </w:rPr>
        <w:t xml:space="preserve"> </w:t>
      </w:r>
      <w:r w:rsidRPr="00D17888">
        <w:rPr>
          <w:rFonts w:ascii="Arial" w:hAnsi="Arial" w:cs="Arial"/>
          <w:b/>
        </w:rPr>
        <w:t>Developer</w:t>
      </w:r>
      <w:r w:rsidRPr="00D17888">
        <w:rPr>
          <w:rFonts w:ascii="Arial" w:hAnsi="Arial" w:cs="Arial"/>
        </w:rPr>
        <w:t>).</w:t>
      </w:r>
    </w:p>
    <w:p w:rsidR="001655E8" w:rsidRPr="00D17888" w:rsidRDefault="001655E8" w:rsidP="001655E8">
      <w:pPr>
        <w:pStyle w:val="Heading9"/>
      </w:pPr>
      <w:r w:rsidRPr="00D17888">
        <w:t>Description of the Subject Land</w:t>
      </w:r>
    </w:p>
    <w:p w:rsidR="001655E8" w:rsidRPr="002E5AB9" w:rsidRDefault="001655E8" w:rsidP="002E5AB9">
      <w:pPr>
        <w:rPr>
          <w:rFonts w:ascii="Arial" w:hAnsi="Arial" w:cs="Arial"/>
          <w:szCs w:val="22"/>
        </w:rPr>
      </w:pPr>
      <w:r w:rsidRPr="00D17888">
        <w:rPr>
          <w:rFonts w:ascii="Arial" w:hAnsi="Arial" w:cs="Arial"/>
          <w:szCs w:val="22"/>
        </w:rPr>
        <w:t>Th</w:t>
      </w:r>
      <w:r w:rsidR="002E5AB9">
        <w:rPr>
          <w:rFonts w:ascii="Arial" w:hAnsi="Arial" w:cs="Arial"/>
          <w:szCs w:val="22"/>
        </w:rPr>
        <w:t xml:space="preserve">e Planning Agreement applies to </w:t>
      </w:r>
      <w:r w:rsidR="004E08C8" w:rsidRPr="002E5AB9">
        <w:rPr>
          <w:rFonts w:ascii="Arial" w:hAnsi="Arial"/>
          <w:szCs w:val="22"/>
          <w:lang w:eastAsia="en-AU"/>
        </w:rPr>
        <w:t>Lot 257</w:t>
      </w:r>
      <w:r w:rsidR="009B04BE" w:rsidRPr="002E5AB9">
        <w:rPr>
          <w:rFonts w:ascii="Arial" w:hAnsi="Arial"/>
          <w:szCs w:val="22"/>
          <w:lang w:eastAsia="en-AU"/>
        </w:rPr>
        <w:t xml:space="preserve"> of Deposited Plan </w:t>
      </w:r>
      <w:r w:rsidR="004E08C8" w:rsidRPr="002E5AB9">
        <w:rPr>
          <w:rFonts w:ascii="Arial" w:hAnsi="Arial"/>
          <w:szCs w:val="22"/>
          <w:lang w:eastAsia="en-AU"/>
        </w:rPr>
        <w:t>10669 kn</w:t>
      </w:r>
      <w:r w:rsidR="009B04BE" w:rsidRPr="002E5AB9">
        <w:rPr>
          <w:rFonts w:ascii="Arial" w:hAnsi="Arial"/>
          <w:szCs w:val="22"/>
          <w:lang w:eastAsia="en-AU"/>
        </w:rPr>
        <w:t>own as</w:t>
      </w:r>
      <w:r w:rsidR="00025424" w:rsidRPr="002E5AB9">
        <w:rPr>
          <w:rFonts w:ascii="Arial" w:hAnsi="Arial"/>
          <w:szCs w:val="22"/>
          <w:lang w:eastAsia="en-AU"/>
        </w:rPr>
        <w:t xml:space="preserve"> </w:t>
      </w:r>
      <w:r w:rsidR="004E08C8" w:rsidRPr="002E5AB9">
        <w:rPr>
          <w:rFonts w:ascii="Arial" w:hAnsi="Arial"/>
          <w:szCs w:val="22"/>
          <w:lang w:eastAsia="en-AU"/>
        </w:rPr>
        <w:t>70 River Road, Tahmoor NSW 2573</w:t>
      </w:r>
      <w:r w:rsidR="009B04BE" w:rsidRPr="002E5AB9">
        <w:rPr>
          <w:rFonts w:ascii="Arial" w:hAnsi="Arial"/>
          <w:szCs w:val="22"/>
          <w:lang w:eastAsia="en-AU"/>
        </w:rPr>
        <w:t xml:space="preserve"> </w:t>
      </w:r>
      <w:r w:rsidR="00A34760" w:rsidRPr="002E5AB9">
        <w:rPr>
          <w:rFonts w:ascii="Arial" w:hAnsi="Arial"/>
          <w:szCs w:val="22"/>
          <w:lang w:eastAsia="en-AU"/>
        </w:rPr>
        <w:t>(</w:t>
      </w:r>
      <w:r w:rsidR="00A34760" w:rsidRPr="002E5AB9">
        <w:rPr>
          <w:rFonts w:ascii="Arial" w:hAnsi="Arial"/>
          <w:b/>
          <w:szCs w:val="22"/>
          <w:lang w:eastAsia="en-AU"/>
        </w:rPr>
        <w:t>Subject Land</w:t>
      </w:r>
      <w:r w:rsidR="00A34760" w:rsidRPr="002E5AB9">
        <w:rPr>
          <w:rFonts w:ascii="Arial" w:hAnsi="Arial"/>
          <w:szCs w:val="22"/>
          <w:lang w:eastAsia="en-AU"/>
        </w:rPr>
        <w:t>).</w:t>
      </w:r>
    </w:p>
    <w:p w:rsidR="001655E8" w:rsidRPr="00D17888" w:rsidRDefault="001655E8" w:rsidP="001655E8">
      <w:pPr>
        <w:pStyle w:val="Heading9"/>
      </w:pPr>
      <w:r w:rsidRPr="00D17888">
        <w:t>Description of the Proposed Development</w:t>
      </w:r>
    </w:p>
    <w:p w:rsidR="001655E8" w:rsidRPr="00D17888" w:rsidRDefault="001655E8" w:rsidP="001655E8">
      <w:pPr>
        <w:rPr>
          <w:rFonts w:ascii="Arial" w:hAnsi="Arial"/>
          <w:szCs w:val="22"/>
          <w:lang w:eastAsia="en-AU"/>
        </w:rPr>
      </w:pPr>
      <w:r w:rsidRPr="00D17888">
        <w:rPr>
          <w:rFonts w:ascii="Arial" w:hAnsi="Arial" w:cs="Arial"/>
        </w:rPr>
        <w:t>The Developer is seeking to subdivi</w:t>
      </w:r>
      <w:r w:rsidR="00025424">
        <w:rPr>
          <w:rFonts w:ascii="Arial" w:hAnsi="Arial" w:cs="Arial"/>
        </w:rPr>
        <w:t xml:space="preserve">de the </w:t>
      </w:r>
      <w:r w:rsidR="00F80445">
        <w:rPr>
          <w:rFonts w:ascii="Arial" w:hAnsi="Arial" w:cs="Arial"/>
        </w:rPr>
        <w:t>Subject L</w:t>
      </w:r>
      <w:r w:rsidR="00F80445" w:rsidRPr="00D17888">
        <w:rPr>
          <w:rFonts w:ascii="Arial" w:hAnsi="Arial" w:cs="Arial"/>
        </w:rPr>
        <w:t xml:space="preserve">and </w:t>
      </w:r>
      <w:r w:rsidRPr="002E5AB9">
        <w:rPr>
          <w:rFonts w:ascii="Arial" w:hAnsi="Arial" w:cs="Arial"/>
        </w:rPr>
        <w:t xml:space="preserve">into </w:t>
      </w:r>
      <w:r w:rsidR="00A34760" w:rsidRPr="002E5AB9">
        <w:rPr>
          <w:rFonts w:ascii="Arial" w:hAnsi="Arial" w:cs="Arial"/>
        </w:rPr>
        <w:t xml:space="preserve">approximately </w:t>
      </w:r>
      <w:r w:rsidR="004E08C8" w:rsidRPr="002E5AB9">
        <w:rPr>
          <w:rFonts w:ascii="Arial" w:hAnsi="Arial" w:cs="Arial"/>
        </w:rPr>
        <w:t xml:space="preserve">31 residential lots generally in accordance with Development Application number 903/2015 which has been lodged with Wollondilly Shire </w:t>
      </w:r>
      <w:proofErr w:type="gramStart"/>
      <w:r w:rsidR="004E08C8" w:rsidRPr="002E5AB9">
        <w:rPr>
          <w:rFonts w:ascii="Arial" w:hAnsi="Arial" w:cs="Arial"/>
        </w:rPr>
        <w:t>Council</w:t>
      </w:r>
      <w:r w:rsidR="004E08C8">
        <w:rPr>
          <w:rFonts w:ascii="Arial" w:hAnsi="Arial" w:cs="Arial"/>
        </w:rPr>
        <w:t xml:space="preserve"> </w:t>
      </w:r>
      <w:r w:rsidR="00A34760">
        <w:rPr>
          <w:rFonts w:ascii="Arial" w:hAnsi="Arial" w:cs="Arial"/>
        </w:rPr>
        <w:t xml:space="preserve"> </w:t>
      </w:r>
      <w:r w:rsidRPr="00D17888">
        <w:rPr>
          <w:rFonts w:ascii="Arial" w:eastAsia="Calibri" w:hAnsi="Arial" w:cs="Arial"/>
          <w:szCs w:val="22"/>
          <w:lang w:val="en-GB"/>
        </w:rPr>
        <w:t>(</w:t>
      </w:r>
      <w:proofErr w:type="gramEnd"/>
      <w:r w:rsidRPr="00D17888">
        <w:rPr>
          <w:rFonts w:ascii="Arial" w:eastAsia="Calibri" w:hAnsi="Arial" w:cs="Arial"/>
          <w:b/>
          <w:szCs w:val="22"/>
          <w:lang w:val="en-GB"/>
        </w:rPr>
        <w:t>Proposed Development</w:t>
      </w:r>
      <w:r w:rsidRPr="00D17888">
        <w:rPr>
          <w:rFonts w:ascii="Arial" w:eastAsia="Calibri" w:hAnsi="Arial" w:cs="Arial"/>
          <w:szCs w:val="22"/>
          <w:lang w:val="en-GB"/>
        </w:rPr>
        <w:t xml:space="preserve">). </w:t>
      </w:r>
      <w:r w:rsidR="00F80445">
        <w:rPr>
          <w:rFonts w:ascii="Arial" w:eastAsia="Calibri" w:hAnsi="Arial" w:cs="Arial"/>
          <w:szCs w:val="22"/>
          <w:lang w:val="en-GB"/>
        </w:rPr>
        <w:t xml:space="preserve"> </w:t>
      </w:r>
      <w:r w:rsidRPr="00D17888">
        <w:rPr>
          <w:rFonts w:ascii="Arial" w:eastAsia="Calibri" w:hAnsi="Arial" w:cs="Arial"/>
          <w:szCs w:val="22"/>
          <w:lang w:val="en-GB"/>
        </w:rPr>
        <w:t xml:space="preserve">The </w:t>
      </w:r>
      <w:r w:rsidR="00F80445">
        <w:rPr>
          <w:rFonts w:ascii="Arial" w:eastAsia="Calibri" w:hAnsi="Arial" w:cs="Arial"/>
          <w:szCs w:val="22"/>
          <w:lang w:val="en-GB"/>
        </w:rPr>
        <w:t>D</w:t>
      </w:r>
      <w:r w:rsidR="00F80445" w:rsidRPr="00D17888">
        <w:rPr>
          <w:rFonts w:ascii="Arial" w:eastAsia="Calibri" w:hAnsi="Arial" w:cs="Arial"/>
          <w:szCs w:val="22"/>
          <w:lang w:val="en-GB"/>
        </w:rPr>
        <w:t xml:space="preserve">eveloper </w:t>
      </w:r>
      <w:r w:rsidRPr="00D17888">
        <w:rPr>
          <w:rFonts w:ascii="Arial" w:hAnsi="Arial" w:cs="Arial"/>
        </w:rPr>
        <w:t xml:space="preserve">has made an offer to the Minister to </w:t>
      </w:r>
      <w:proofErr w:type="gramStart"/>
      <w:r w:rsidRPr="00D17888">
        <w:rPr>
          <w:rFonts w:ascii="Arial" w:hAnsi="Arial" w:cs="Arial"/>
        </w:rPr>
        <w:t>enter into the</w:t>
      </w:r>
      <w:proofErr w:type="gramEnd"/>
      <w:r w:rsidRPr="00D17888">
        <w:rPr>
          <w:rFonts w:ascii="Arial" w:hAnsi="Arial" w:cs="Arial"/>
        </w:rPr>
        <w:t xml:space="preserve"> Planning Agreement in connection with the Proposed Development.</w:t>
      </w:r>
    </w:p>
    <w:p w:rsidR="001655E8" w:rsidRPr="00D17888" w:rsidRDefault="001655E8" w:rsidP="001655E8">
      <w:pPr>
        <w:pStyle w:val="Heading9"/>
        <w:keepLines/>
      </w:pPr>
      <w:r w:rsidRPr="00D17888">
        <w:t>Summary of Objectives, Nature and Effect of the Planning Agreement</w:t>
      </w:r>
    </w:p>
    <w:p w:rsidR="001655E8" w:rsidRPr="00D17888" w:rsidRDefault="006D360D" w:rsidP="001655E8">
      <w:pPr>
        <w:pStyle w:val="ListBullet"/>
        <w:numPr>
          <w:ilvl w:val="0"/>
          <w:numId w:val="0"/>
        </w:numPr>
        <w:rPr>
          <w:rFonts w:ascii="Arial" w:hAnsi="Arial"/>
        </w:rPr>
      </w:pPr>
      <w:r w:rsidRPr="002D7EDC">
        <w:rPr>
          <w:rFonts w:ascii="Arial" w:hAnsi="Arial" w:cs="Arial"/>
        </w:rPr>
        <w:t xml:space="preserve">The Planning Agreement provides that the Developer will make a monetary contribution of </w:t>
      </w:r>
      <w:r w:rsidRPr="002E5AB9">
        <w:rPr>
          <w:rFonts w:ascii="Arial" w:hAnsi="Arial" w:cs="Arial"/>
          <w:lang w:val="en-GB"/>
        </w:rPr>
        <w:t>$9,</w:t>
      </w:r>
      <w:r w:rsidR="004E08C8" w:rsidRPr="002E5AB9">
        <w:rPr>
          <w:rFonts w:ascii="Arial" w:hAnsi="Arial" w:cs="Arial"/>
          <w:lang w:val="en-GB"/>
        </w:rPr>
        <w:t>264</w:t>
      </w:r>
      <w:r w:rsidRPr="002E5AB9">
        <w:rPr>
          <w:rFonts w:ascii="Arial" w:hAnsi="Arial" w:cs="Arial"/>
        </w:rPr>
        <w:t xml:space="preserve"> per residential lot (subject</w:t>
      </w:r>
      <w:r>
        <w:rPr>
          <w:rFonts w:ascii="Arial" w:hAnsi="Arial" w:cs="Arial"/>
        </w:rPr>
        <w:t xml:space="preserve"> to indexation in accordance with the Planning Agreement) </w:t>
      </w:r>
      <w:r w:rsidRPr="002D7EDC">
        <w:rPr>
          <w:rFonts w:ascii="Arial" w:hAnsi="Arial" w:cs="Arial"/>
        </w:rPr>
        <w:t xml:space="preserve">for the purposes of the provision of designated State public infrastructure within the meaning of </w:t>
      </w:r>
      <w:r w:rsidRPr="002E5AB9">
        <w:rPr>
          <w:rFonts w:ascii="Arial" w:hAnsi="Arial" w:cs="Arial"/>
        </w:rPr>
        <w:t>clause 6.1</w:t>
      </w:r>
      <w:r w:rsidR="001655E8" w:rsidRPr="002E5AB9">
        <w:rPr>
          <w:rFonts w:ascii="Arial" w:hAnsi="Arial"/>
          <w:szCs w:val="22"/>
          <w:lang w:eastAsia="en-AU"/>
        </w:rPr>
        <w:t xml:space="preserve"> </w:t>
      </w:r>
      <w:r w:rsidR="001655E8" w:rsidRPr="002E5AB9">
        <w:rPr>
          <w:rFonts w:ascii="Arial" w:hAnsi="Arial"/>
        </w:rPr>
        <w:t>of the</w:t>
      </w:r>
      <w:r w:rsidR="001655E8" w:rsidRPr="002E5AB9">
        <w:rPr>
          <w:rFonts w:ascii="Arial" w:hAnsi="Arial"/>
          <w:i/>
        </w:rPr>
        <w:t xml:space="preserve"> </w:t>
      </w:r>
      <w:r w:rsidR="0059302D" w:rsidRPr="002E5AB9">
        <w:rPr>
          <w:rFonts w:ascii="Arial" w:hAnsi="Arial"/>
          <w:i/>
        </w:rPr>
        <w:t>W</w:t>
      </w:r>
      <w:r w:rsidR="00931391" w:rsidRPr="002E5AB9">
        <w:rPr>
          <w:rFonts w:ascii="Arial" w:hAnsi="Arial"/>
          <w:i/>
        </w:rPr>
        <w:t>ollondilly</w:t>
      </w:r>
      <w:r w:rsidR="00025424" w:rsidRPr="002E5AB9">
        <w:rPr>
          <w:rFonts w:ascii="Arial" w:hAnsi="Arial"/>
          <w:i/>
        </w:rPr>
        <w:t xml:space="preserve"> </w:t>
      </w:r>
      <w:r w:rsidR="001655E8" w:rsidRPr="002E5AB9">
        <w:rPr>
          <w:rFonts w:ascii="Arial" w:hAnsi="Arial"/>
          <w:i/>
          <w:szCs w:val="22"/>
          <w:lang w:eastAsia="en-AU"/>
        </w:rPr>
        <w:t>Local Environmental Plan 20</w:t>
      </w:r>
      <w:r w:rsidR="00025424" w:rsidRPr="002E5AB9">
        <w:rPr>
          <w:rFonts w:ascii="Arial" w:hAnsi="Arial"/>
          <w:i/>
          <w:szCs w:val="22"/>
          <w:lang w:eastAsia="en-AU"/>
        </w:rPr>
        <w:t>1</w:t>
      </w:r>
      <w:r w:rsidR="00931391" w:rsidRPr="002E5AB9">
        <w:rPr>
          <w:rFonts w:ascii="Arial" w:hAnsi="Arial"/>
          <w:i/>
          <w:szCs w:val="22"/>
          <w:lang w:eastAsia="en-AU"/>
        </w:rPr>
        <w:t>1</w:t>
      </w:r>
      <w:r w:rsidR="001655E8" w:rsidRPr="002E5AB9">
        <w:rPr>
          <w:rFonts w:ascii="Arial" w:hAnsi="Arial"/>
          <w:szCs w:val="22"/>
          <w:lang w:eastAsia="en-AU"/>
        </w:rPr>
        <w:t xml:space="preserve"> (</w:t>
      </w:r>
      <w:r w:rsidR="001655E8" w:rsidRPr="002E5AB9">
        <w:rPr>
          <w:rFonts w:ascii="Arial" w:hAnsi="Arial"/>
          <w:b/>
          <w:szCs w:val="22"/>
          <w:lang w:eastAsia="en-AU"/>
        </w:rPr>
        <w:t>LEP</w:t>
      </w:r>
      <w:r w:rsidR="001655E8" w:rsidRPr="002E5AB9">
        <w:rPr>
          <w:rFonts w:ascii="Arial" w:hAnsi="Arial"/>
          <w:szCs w:val="22"/>
          <w:lang w:eastAsia="en-AU"/>
        </w:rPr>
        <w:t>)</w:t>
      </w:r>
      <w:r w:rsidR="001655E8" w:rsidRPr="002E5AB9">
        <w:rPr>
          <w:rFonts w:ascii="Arial" w:hAnsi="Arial"/>
        </w:rPr>
        <w:t>.</w:t>
      </w:r>
    </w:p>
    <w:p w:rsidR="006D360D" w:rsidRPr="00D17888" w:rsidRDefault="006D360D" w:rsidP="006D360D">
      <w:pPr>
        <w:pStyle w:val="ListBullet"/>
        <w:numPr>
          <w:ilvl w:val="0"/>
          <w:numId w:val="0"/>
        </w:numPr>
        <w:rPr>
          <w:rFonts w:ascii="Arial" w:hAnsi="Arial"/>
        </w:rPr>
      </w:pPr>
      <w:r w:rsidRPr="002E5AB9">
        <w:rPr>
          <w:rFonts w:ascii="Arial" w:hAnsi="Arial" w:cs="Arial"/>
        </w:rPr>
        <w:t xml:space="preserve">The monetary contribution for each lot will be payable prior to the issue of each relevant Subdivision Certificate in accordance with Schedule 4 </w:t>
      </w:r>
      <w:r w:rsidR="002E5AB9" w:rsidRPr="002E5AB9">
        <w:rPr>
          <w:rFonts w:ascii="Arial" w:hAnsi="Arial" w:cs="Arial"/>
        </w:rPr>
        <w:t>of</w:t>
      </w:r>
      <w:r w:rsidRPr="002E5AB9">
        <w:rPr>
          <w:rFonts w:ascii="Arial" w:hAnsi="Arial" w:cs="Arial"/>
        </w:rPr>
        <w:t xml:space="preserve"> the Planning Agreement.</w:t>
      </w:r>
    </w:p>
    <w:p w:rsidR="006D360D" w:rsidRDefault="006D360D" w:rsidP="006D360D">
      <w:pPr>
        <w:pStyle w:val="ListBullet"/>
        <w:numPr>
          <w:ilvl w:val="0"/>
          <w:numId w:val="0"/>
        </w:numPr>
        <w:rPr>
          <w:rFonts w:ascii="Arial" w:hAnsi="Arial"/>
        </w:rPr>
      </w:pPr>
      <w:r w:rsidRPr="002E5AB9">
        <w:rPr>
          <w:rFonts w:ascii="Arial" w:hAnsi="Arial"/>
        </w:rPr>
        <w:t>The Developer is required to provide a bank guarantee.</w:t>
      </w:r>
    </w:p>
    <w:p w:rsidR="006D360D" w:rsidRPr="00D17888" w:rsidRDefault="006D360D" w:rsidP="006D360D">
      <w:pPr>
        <w:pStyle w:val="ListBullet"/>
        <w:numPr>
          <w:ilvl w:val="0"/>
          <w:numId w:val="0"/>
        </w:numPr>
        <w:rPr>
          <w:rFonts w:ascii="Arial" w:hAnsi="Arial"/>
        </w:rPr>
      </w:pPr>
      <w:r w:rsidRPr="00D17888">
        <w:rPr>
          <w:rFonts w:ascii="Arial" w:hAnsi="Arial"/>
        </w:rPr>
        <w:t xml:space="preserve">The objective of the Planning Agreement is to facilitate the delivery of the Developer’s contributions towards the provision of infrastructure, facilities and services referred to in clause </w:t>
      </w:r>
      <w:r w:rsidRPr="00D17888">
        <w:rPr>
          <w:rFonts w:ascii="Arial" w:hAnsi="Arial"/>
          <w:szCs w:val="22"/>
          <w:lang w:eastAsia="en-AU"/>
        </w:rPr>
        <w:t>6</w:t>
      </w:r>
      <w:r>
        <w:rPr>
          <w:rFonts w:ascii="Arial" w:hAnsi="Arial"/>
          <w:szCs w:val="22"/>
          <w:lang w:eastAsia="en-AU"/>
        </w:rPr>
        <w:t>.1</w:t>
      </w:r>
      <w:r w:rsidRPr="00D17888">
        <w:rPr>
          <w:rFonts w:ascii="Arial" w:hAnsi="Arial"/>
          <w:szCs w:val="22"/>
          <w:lang w:eastAsia="en-AU"/>
        </w:rPr>
        <w:t xml:space="preserve"> </w:t>
      </w:r>
      <w:r w:rsidRPr="00D17888">
        <w:rPr>
          <w:rFonts w:ascii="Arial" w:hAnsi="Arial"/>
        </w:rPr>
        <w:t>of the</w:t>
      </w:r>
      <w:r w:rsidRPr="00D17888">
        <w:rPr>
          <w:rFonts w:ascii="Arial" w:hAnsi="Arial"/>
          <w:i/>
        </w:rPr>
        <w:t xml:space="preserve"> </w:t>
      </w:r>
      <w:r w:rsidRPr="00D17888">
        <w:rPr>
          <w:rFonts w:ascii="Arial" w:hAnsi="Arial"/>
          <w:szCs w:val="22"/>
          <w:lang w:eastAsia="en-AU"/>
        </w:rPr>
        <w:t>LEP</w:t>
      </w:r>
      <w:r w:rsidRPr="00D17888">
        <w:rPr>
          <w:rFonts w:ascii="Arial" w:hAnsi="Arial"/>
        </w:rPr>
        <w:t>.</w:t>
      </w:r>
    </w:p>
    <w:p w:rsidR="001655E8" w:rsidRPr="00D17888" w:rsidRDefault="006D360D" w:rsidP="006D360D">
      <w:pPr>
        <w:pStyle w:val="ListBullet"/>
        <w:numPr>
          <w:ilvl w:val="0"/>
          <w:numId w:val="0"/>
        </w:numPr>
        <w:rPr>
          <w:rFonts w:ascii="Arial" w:hAnsi="Arial"/>
        </w:rPr>
      </w:pPr>
      <w:r w:rsidRPr="00D17888">
        <w:rPr>
          <w:rFonts w:ascii="Arial" w:hAnsi="Arial"/>
        </w:rPr>
        <w:lastRenderedPageBreak/>
        <w:t xml:space="preserve">No relevant capital works program by the Minister is associated with </w:t>
      </w:r>
      <w:r>
        <w:rPr>
          <w:rFonts w:ascii="Arial" w:hAnsi="Arial"/>
        </w:rPr>
        <w:t>the Planning Agreement</w:t>
      </w:r>
      <w:r w:rsidRPr="00D17888">
        <w:rPr>
          <w:rFonts w:ascii="Arial" w:hAnsi="Arial"/>
        </w:rPr>
        <w:t>.</w:t>
      </w:r>
    </w:p>
    <w:p w:rsidR="001655E8" w:rsidRPr="00D17888" w:rsidRDefault="001655E8" w:rsidP="001655E8">
      <w:pPr>
        <w:pStyle w:val="Heading9"/>
        <w:numPr>
          <w:ilvl w:val="0"/>
          <w:numId w:val="0"/>
        </w:numPr>
      </w:pPr>
      <w:r w:rsidRPr="00D17888">
        <w:t>Assessment of Merits of Planning Agreement</w:t>
      </w:r>
    </w:p>
    <w:p w:rsidR="001655E8" w:rsidRPr="00D17888" w:rsidRDefault="001655E8" w:rsidP="001655E8">
      <w:pPr>
        <w:pStyle w:val="SubtitleTNR"/>
        <w:rPr>
          <w:rFonts w:ascii="Arial" w:hAnsi="Arial" w:cs="Arial"/>
          <w:sz w:val="22"/>
          <w:szCs w:val="22"/>
        </w:rPr>
      </w:pPr>
      <w:r w:rsidRPr="00D17888">
        <w:rPr>
          <w:rFonts w:ascii="Arial" w:hAnsi="Arial" w:cs="Arial"/>
          <w:sz w:val="22"/>
          <w:szCs w:val="22"/>
        </w:rPr>
        <w:t>The Planning Purpose of the Planning Agreement</w:t>
      </w:r>
    </w:p>
    <w:p w:rsidR="001655E8" w:rsidRPr="00D17888" w:rsidRDefault="001655E8" w:rsidP="001655E8">
      <w:pPr>
        <w:pStyle w:val="IndentParaLevel1"/>
        <w:ind w:left="0"/>
        <w:rPr>
          <w:rFonts w:ascii="Arial" w:hAnsi="Arial" w:cs="Arial"/>
        </w:rPr>
      </w:pPr>
      <w:r w:rsidRPr="00D17888">
        <w:rPr>
          <w:rFonts w:ascii="Arial" w:hAnsi="Arial"/>
        </w:rPr>
        <w:t>In accordance with section 93</w:t>
      </w:r>
      <w:proofErr w:type="gramStart"/>
      <w:r w:rsidRPr="00D17888">
        <w:rPr>
          <w:rFonts w:ascii="Arial" w:hAnsi="Arial"/>
        </w:rPr>
        <w:t>F(</w:t>
      </w:r>
      <w:proofErr w:type="gramEnd"/>
      <w:r w:rsidRPr="00D17888">
        <w:rPr>
          <w:rFonts w:ascii="Arial" w:hAnsi="Arial"/>
        </w:rPr>
        <w:t>2) of the Act, the Planning Agreement has the following public purpose</w:t>
      </w:r>
      <w:r w:rsidRPr="00D17888">
        <w:rPr>
          <w:rFonts w:ascii="Arial" w:hAnsi="Arial" w:cs="Arial"/>
        </w:rPr>
        <w:t>:</w:t>
      </w:r>
    </w:p>
    <w:p w:rsidR="001655E8" w:rsidRPr="00D17888" w:rsidRDefault="001655E8" w:rsidP="001655E8">
      <w:pPr>
        <w:pStyle w:val="ListBullet"/>
        <w:tabs>
          <w:tab w:val="clear" w:pos="964"/>
        </w:tabs>
        <w:ind w:left="440" w:hanging="440"/>
        <w:rPr>
          <w:rFonts w:ascii="Arial" w:hAnsi="Arial" w:cs="Arial"/>
        </w:rPr>
      </w:pPr>
      <w:r w:rsidRPr="00D17888">
        <w:rPr>
          <w:rFonts w:ascii="Arial" w:hAnsi="Arial" w:cs="Arial"/>
        </w:rPr>
        <w:t>the provision of (or the recoupment of the cost of providing) public amenities or public services.</w:t>
      </w:r>
    </w:p>
    <w:p w:rsidR="001655E8" w:rsidRPr="00D17888" w:rsidRDefault="001655E8" w:rsidP="001655E8">
      <w:pPr>
        <w:rPr>
          <w:rFonts w:ascii="Arial" w:hAnsi="Arial"/>
        </w:rPr>
      </w:pPr>
      <w:r w:rsidRPr="00D17888">
        <w:rPr>
          <w:rFonts w:ascii="Arial" w:hAnsi="Arial"/>
        </w:rPr>
        <w:t>The Minister and the Developer have assessed the Planning Agreement and both hold the view that the provisions of the Planning Agreement provide a reasonable means of achieving the public purpose set out above.  This is because it will ensure that the Developer makes appropriate contributions towards the provision of infrastructure, facilities and services referred to in clause</w:t>
      </w:r>
      <w:r w:rsidRPr="00D17888">
        <w:rPr>
          <w:rFonts w:ascii="Arial" w:hAnsi="Arial"/>
          <w:szCs w:val="22"/>
          <w:lang w:eastAsia="en-AU"/>
        </w:rPr>
        <w:t xml:space="preserve"> 6</w:t>
      </w:r>
      <w:r w:rsidR="00D04A7C">
        <w:rPr>
          <w:rFonts w:ascii="Arial" w:hAnsi="Arial"/>
          <w:szCs w:val="22"/>
          <w:lang w:eastAsia="en-AU"/>
        </w:rPr>
        <w:t>.1</w:t>
      </w:r>
      <w:r w:rsidRPr="00D17888">
        <w:rPr>
          <w:rFonts w:ascii="Arial" w:hAnsi="Arial"/>
          <w:szCs w:val="22"/>
          <w:lang w:eastAsia="en-AU"/>
        </w:rPr>
        <w:t xml:space="preserve"> </w:t>
      </w:r>
      <w:r w:rsidRPr="00D17888">
        <w:rPr>
          <w:rFonts w:ascii="Arial" w:hAnsi="Arial"/>
        </w:rPr>
        <w:t>of the</w:t>
      </w:r>
      <w:r w:rsidRPr="00D17888">
        <w:rPr>
          <w:rFonts w:ascii="Arial" w:hAnsi="Arial"/>
          <w:i/>
        </w:rPr>
        <w:t xml:space="preserve"> </w:t>
      </w:r>
      <w:r w:rsidRPr="00D17888">
        <w:rPr>
          <w:rFonts w:ascii="Arial" w:hAnsi="Arial"/>
          <w:szCs w:val="22"/>
          <w:lang w:eastAsia="en-AU"/>
        </w:rPr>
        <w:t>LEP</w:t>
      </w:r>
      <w:r w:rsidRPr="00D17888">
        <w:rPr>
          <w:rFonts w:ascii="Arial" w:hAnsi="Arial"/>
        </w:rPr>
        <w:t>.</w:t>
      </w:r>
    </w:p>
    <w:p w:rsidR="001655E8" w:rsidRPr="00D17888" w:rsidRDefault="001655E8" w:rsidP="001655E8">
      <w:pPr>
        <w:pStyle w:val="SubtitleTNR"/>
        <w:rPr>
          <w:rFonts w:ascii="Arial" w:hAnsi="Arial" w:cs="Arial"/>
          <w:sz w:val="22"/>
          <w:szCs w:val="22"/>
        </w:rPr>
      </w:pPr>
      <w:r w:rsidRPr="00D17888">
        <w:rPr>
          <w:rFonts w:ascii="Arial" w:hAnsi="Arial" w:cs="Arial"/>
          <w:sz w:val="22"/>
          <w:szCs w:val="22"/>
        </w:rPr>
        <w:t>How the Planning Agreement Promotes the Public Interest</w:t>
      </w:r>
    </w:p>
    <w:p w:rsidR="001655E8" w:rsidRPr="00D17888" w:rsidRDefault="001655E8" w:rsidP="001655E8">
      <w:pPr>
        <w:rPr>
          <w:rFonts w:ascii="Arial" w:hAnsi="Arial" w:cs="Arial"/>
          <w:szCs w:val="22"/>
        </w:rPr>
      </w:pPr>
      <w:r w:rsidRPr="00D17888">
        <w:rPr>
          <w:rFonts w:ascii="Arial" w:hAnsi="Arial" w:cs="Arial"/>
        </w:rPr>
        <w:t>The Planning Agreement promotes the public interest by ensuring that an appropriate contribution is made towards the provision of</w:t>
      </w:r>
      <w:r w:rsidRPr="00D17888">
        <w:rPr>
          <w:rFonts w:ascii="Arial" w:hAnsi="Arial"/>
        </w:rPr>
        <w:t xml:space="preserve"> infrastructure, facilities and services </w:t>
      </w:r>
      <w:r w:rsidRPr="00D17888">
        <w:rPr>
          <w:rFonts w:ascii="Arial" w:hAnsi="Arial" w:cs="Arial"/>
        </w:rPr>
        <w:t xml:space="preserve">to satisfy needs that arise from development of the </w:t>
      </w:r>
      <w:r w:rsidR="000F1A7A">
        <w:rPr>
          <w:rFonts w:ascii="Arial" w:hAnsi="Arial" w:cs="Arial"/>
        </w:rPr>
        <w:t xml:space="preserve">Subject </w:t>
      </w:r>
      <w:r w:rsidRPr="00D17888">
        <w:rPr>
          <w:rFonts w:ascii="Arial" w:hAnsi="Arial" w:cs="Arial"/>
        </w:rPr>
        <w:t>Land.</w:t>
      </w:r>
      <w:bookmarkStart w:id="0" w:name="_GoBack"/>
      <w:bookmarkEnd w:id="0"/>
    </w:p>
    <w:p w:rsidR="001655E8" w:rsidRPr="00D17888" w:rsidRDefault="001655E8" w:rsidP="001655E8">
      <w:pPr>
        <w:pStyle w:val="SubtitleTNR"/>
        <w:rPr>
          <w:rFonts w:ascii="Arial" w:hAnsi="Arial" w:cs="Arial"/>
          <w:sz w:val="22"/>
          <w:szCs w:val="22"/>
        </w:rPr>
      </w:pPr>
      <w:r w:rsidRPr="00D17888">
        <w:rPr>
          <w:rFonts w:ascii="Arial" w:hAnsi="Arial" w:cs="Arial"/>
          <w:sz w:val="22"/>
          <w:szCs w:val="22"/>
        </w:rPr>
        <w:t>How the Planning Agreement Promotes the Objects of the Act</w:t>
      </w:r>
    </w:p>
    <w:p w:rsidR="001655E8" w:rsidRPr="00D17888" w:rsidRDefault="001655E8" w:rsidP="001655E8">
      <w:pPr>
        <w:rPr>
          <w:rFonts w:ascii="Arial" w:hAnsi="Arial"/>
        </w:rPr>
      </w:pPr>
      <w:r w:rsidRPr="00D17888">
        <w:rPr>
          <w:rFonts w:ascii="Arial" w:hAnsi="Arial"/>
        </w:rPr>
        <w:t xml:space="preserve">The Planning Agreement promotes the objects </w:t>
      </w:r>
      <w:bookmarkStart w:id="1" w:name="pt.1-sec.5"/>
      <w:r w:rsidRPr="00D17888">
        <w:rPr>
          <w:rFonts w:ascii="Arial" w:hAnsi="Arial"/>
        </w:rPr>
        <w:t>of the Act by encouraging:</w:t>
      </w:r>
    </w:p>
    <w:p w:rsidR="001655E8" w:rsidRPr="00D17888" w:rsidRDefault="001655E8" w:rsidP="001655E8">
      <w:pPr>
        <w:pStyle w:val="ListBullet"/>
        <w:tabs>
          <w:tab w:val="clear" w:pos="964"/>
        </w:tabs>
        <w:ind w:left="440" w:hanging="440"/>
        <w:rPr>
          <w:rFonts w:ascii="Arial" w:hAnsi="Arial"/>
        </w:rPr>
      </w:pPr>
      <w:r w:rsidRPr="00D17888">
        <w:rPr>
          <w:rFonts w:ascii="Arial" w:hAnsi="Arial"/>
        </w:rPr>
        <w:t>the promotion and co-ordination of the orderly and economic use and development of land</w:t>
      </w:r>
      <w:r w:rsidR="000F1A7A">
        <w:rPr>
          <w:rFonts w:ascii="Arial" w:hAnsi="Arial"/>
        </w:rPr>
        <w:t>.</w:t>
      </w:r>
    </w:p>
    <w:bookmarkEnd w:id="1"/>
    <w:p w:rsidR="001655E8" w:rsidRPr="00D17888" w:rsidRDefault="001655E8" w:rsidP="001655E8">
      <w:pPr>
        <w:pStyle w:val="ListBullet"/>
        <w:numPr>
          <w:ilvl w:val="0"/>
          <w:numId w:val="0"/>
        </w:numPr>
        <w:rPr>
          <w:rFonts w:ascii="Arial" w:hAnsi="Arial"/>
        </w:rPr>
      </w:pPr>
      <w:r w:rsidRPr="00D17888">
        <w:rPr>
          <w:rFonts w:ascii="Arial" w:hAnsi="Arial"/>
        </w:rPr>
        <w:t xml:space="preserve">The Planning Agreement promotes the objects of the Act set out above by requiring the Developer to </w:t>
      </w:r>
      <w:proofErr w:type="gramStart"/>
      <w:r w:rsidRPr="00D17888">
        <w:rPr>
          <w:rFonts w:ascii="Arial" w:hAnsi="Arial"/>
        </w:rPr>
        <w:t>make a contribution</w:t>
      </w:r>
      <w:proofErr w:type="gramEnd"/>
      <w:r w:rsidRPr="00D17888">
        <w:rPr>
          <w:rFonts w:ascii="Arial" w:hAnsi="Arial"/>
        </w:rPr>
        <w:t xml:space="preserve"> towards the provision of infrastructure, facilities and services referred to in clause </w:t>
      </w:r>
      <w:r w:rsidRPr="00D17888">
        <w:rPr>
          <w:rFonts w:ascii="Arial" w:hAnsi="Arial"/>
          <w:szCs w:val="22"/>
          <w:lang w:eastAsia="en-AU"/>
        </w:rPr>
        <w:t>6</w:t>
      </w:r>
      <w:r w:rsidR="00D04A7C">
        <w:rPr>
          <w:rFonts w:ascii="Arial" w:hAnsi="Arial"/>
          <w:szCs w:val="22"/>
          <w:lang w:eastAsia="en-AU"/>
        </w:rPr>
        <w:t>.1</w:t>
      </w:r>
      <w:r w:rsidRPr="00D17888">
        <w:rPr>
          <w:rFonts w:ascii="Arial" w:hAnsi="Arial"/>
        </w:rPr>
        <w:t xml:space="preserve"> of the</w:t>
      </w:r>
      <w:r w:rsidRPr="00D17888">
        <w:rPr>
          <w:rFonts w:ascii="Arial" w:hAnsi="Arial"/>
          <w:i/>
        </w:rPr>
        <w:t xml:space="preserve"> </w:t>
      </w:r>
      <w:r w:rsidRPr="00D17888">
        <w:rPr>
          <w:rFonts w:ascii="Arial" w:hAnsi="Arial"/>
          <w:szCs w:val="22"/>
          <w:lang w:eastAsia="en-AU"/>
        </w:rPr>
        <w:t>LEP</w:t>
      </w:r>
      <w:r w:rsidRPr="00D17888">
        <w:rPr>
          <w:rFonts w:ascii="Arial" w:hAnsi="Arial"/>
        </w:rPr>
        <w:t>.</w:t>
      </w:r>
    </w:p>
    <w:p w:rsidR="001655E8" w:rsidRPr="00D17888" w:rsidRDefault="001655E8" w:rsidP="001655E8">
      <w:pPr>
        <w:rPr>
          <w:rFonts w:ascii="Arial" w:hAnsi="Arial"/>
        </w:rPr>
      </w:pPr>
      <w:r w:rsidRPr="00D17888">
        <w:rPr>
          <w:rFonts w:ascii="Arial" w:hAnsi="Arial"/>
        </w:rPr>
        <w:t xml:space="preserve">The Developer’s offer to contribute towards the provision of State infrastructure will have a positive public impact as funds from the Developer will be available towards the provision of infrastructure, facilities and services referred to in clause </w:t>
      </w:r>
      <w:r w:rsidRPr="00D17888">
        <w:rPr>
          <w:rFonts w:ascii="Arial" w:hAnsi="Arial"/>
          <w:szCs w:val="22"/>
          <w:lang w:eastAsia="en-AU"/>
        </w:rPr>
        <w:t>6</w:t>
      </w:r>
      <w:r w:rsidR="00D04A7C">
        <w:rPr>
          <w:rFonts w:ascii="Arial" w:hAnsi="Arial"/>
          <w:szCs w:val="22"/>
          <w:lang w:eastAsia="en-AU"/>
        </w:rPr>
        <w:t>.1</w:t>
      </w:r>
      <w:r w:rsidRPr="00D17888">
        <w:rPr>
          <w:rFonts w:ascii="Arial" w:hAnsi="Arial"/>
          <w:szCs w:val="22"/>
          <w:lang w:eastAsia="en-AU"/>
        </w:rPr>
        <w:t xml:space="preserve"> </w:t>
      </w:r>
      <w:r w:rsidRPr="00D17888">
        <w:rPr>
          <w:rFonts w:ascii="Arial" w:hAnsi="Arial"/>
        </w:rPr>
        <w:t>of the</w:t>
      </w:r>
      <w:r w:rsidRPr="00D17888">
        <w:rPr>
          <w:rFonts w:ascii="Arial" w:hAnsi="Arial"/>
          <w:i/>
        </w:rPr>
        <w:t xml:space="preserve"> </w:t>
      </w:r>
      <w:r w:rsidRPr="00D17888">
        <w:rPr>
          <w:rFonts w:ascii="Arial" w:hAnsi="Arial"/>
          <w:szCs w:val="22"/>
          <w:lang w:eastAsia="en-AU"/>
        </w:rPr>
        <w:t>LEP</w:t>
      </w:r>
      <w:r w:rsidRPr="00D17888">
        <w:rPr>
          <w:rFonts w:ascii="Arial" w:hAnsi="Arial"/>
        </w:rPr>
        <w:t>.</w:t>
      </w:r>
    </w:p>
    <w:p w:rsidR="001655E8" w:rsidRPr="00D17888" w:rsidRDefault="001655E8" w:rsidP="001655E8">
      <w:pPr>
        <w:pStyle w:val="SubtitleTNR"/>
        <w:rPr>
          <w:rFonts w:ascii="Arial" w:hAnsi="Arial" w:cs="Arial"/>
          <w:sz w:val="22"/>
          <w:szCs w:val="22"/>
        </w:rPr>
      </w:pPr>
      <w:r w:rsidRPr="00D17888">
        <w:rPr>
          <w:rFonts w:ascii="Arial" w:hAnsi="Arial" w:cs="Arial"/>
          <w:sz w:val="22"/>
          <w:szCs w:val="22"/>
        </w:rPr>
        <w:t>Requirements relating to Construction, Occupation and Subdivision Certificates</w:t>
      </w:r>
    </w:p>
    <w:p w:rsidR="0077407F" w:rsidRPr="0077407F" w:rsidRDefault="0077407F" w:rsidP="0077407F">
      <w:pPr>
        <w:pStyle w:val="ListBullet"/>
        <w:numPr>
          <w:ilvl w:val="0"/>
          <w:numId w:val="0"/>
        </w:numPr>
        <w:rPr>
          <w:rFonts w:ascii="Arial" w:hAnsi="Arial"/>
        </w:rPr>
      </w:pPr>
      <w:r w:rsidRPr="0077407F">
        <w:rPr>
          <w:rFonts w:ascii="Arial" w:hAnsi="Arial"/>
        </w:rPr>
        <w:t>The Planning Agreement does not specify requirements that must be complied with prior to the issue of a construction certificate or an occupation certificate.</w:t>
      </w:r>
    </w:p>
    <w:p w:rsidR="0077407F" w:rsidRPr="0077407F" w:rsidRDefault="0077407F" w:rsidP="0077407F">
      <w:pPr>
        <w:pStyle w:val="ListBullet"/>
        <w:numPr>
          <w:ilvl w:val="0"/>
          <w:numId w:val="0"/>
        </w:numPr>
        <w:rPr>
          <w:rFonts w:ascii="Arial" w:hAnsi="Arial"/>
        </w:rPr>
      </w:pPr>
      <w:r w:rsidRPr="0077407F">
        <w:rPr>
          <w:rFonts w:ascii="Arial" w:hAnsi="Arial"/>
        </w:rPr>
        <w:t>The Planning Agreement requires each instalment of the Development Contribution to be paid prior to the issue of the relevant subdivision certificate and therefore contains a restriction on the issue of a subdivision certificate within the meaning of section 109J(</w:t>
      </w:r>
      <w:proofErr w:type="gramStart"/>
      <w:r w:rsidRPr="0077407F">
        <w:rPr>
          <w:rFonts w:ascii="Arial" w:hAnsi="Arial"/>
        </w:rPr>
        <w:t>1)(</w:t>
      </w:r>
      <w:proofErr w:type="gramEnd"/>
      <w:r w:rsidRPr="0077407F">
        <w:rPr>
          <w:rFonts w:ascii="Arial" w:hAnsi="Arial"/>
        </w:rPr>
        <w:t>c1) of the Act.</w:t>
      </w:r>
    </w:p>
    <w:p w:rsidR="0077407F" w:rsidRPr="00D17888" w:rsidRDefault="0077407F" w:rsidP="001655E8">
      <w:pPr>
        <w:rPr>
          <w:rFonts w:ascii="Arial" w:hAnsi="Arial"/>
        </w:rPr>
      </w:pPr>
    </w:p>
    <w:p w:rsidR="001655E8" w:rsidRDefault="001655E8" w:rsidP="001655E8"/>
    <w:sectPr w:rsidR="001655E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46D" w:rsidRDefault="0067746D" w:rsidP="001655E8">
      <w:pPr>
        <w:spacing w:after="0"/>
      </w:pPr>
      <w:r>
        <w:separator/>
      </w:r>
    </w:p>
  </w:endnote>
  <w:endnote w:type="continuationSeparator" w:id="0">
    <w:p w:rsidR="0067746D" w:rsidRDefault="0067746D" w:rsidP="001655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535757"/>
      <w:docPartObj>
        <w:docPartGallery w:val="Page Numbers (Bottom of Page)"/>
        <w:docPartUnique/>
      </w:docPartObj>
    </w:sdtPr>
    <w:sdtEndPr>
      <w:rPr>
        <w:noProof/>
      </w:rPr>
    </w:sdtEndPr>
    <w:sdtContent>
      <w:p w:rsidR="001655E8" w:rsidRDefault="001655E8">
        <w:pPr>
          <w:pStyle w:val="Footer"/>
          <w:jc w:val="right"/>
        </w:pPr>
        <w:r>
          <w:fldChar w:fldCharType="begin"/>
        </w:r>
        <w:r>
          <w:instrText xml:space="preserve"> PAGE   \* MERGEFORMAT </w:instrText>
        </w:r>
        <w:r>
          <w:fldChar w:fldCharType="separate"/>
        </w:r>
        <w:r w:rsidR="00CC2D87">
          <w:rPr>
            <w:noProof/>
          </w:rPr>
          <w:t>2</w:t>
        </w:r>
        <w:r>
          <w:rPr>
            <w:noProof/>
          </w:rPr>
          <w:fldChar w:fldCharType="end"/>
        </w:r>
      </w:p>
    </w:sdtContent>
  </w:sdt>
  <w:p w:rsidR="001655E8" w:rsidRDefault="00165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46D" w:rsidRDefault="0067746D" w:rsidP="001655E8">
      <w:pPr>
        <w:spacing w:after="0"/>
      </w:pPr>
      <w:r>
        <w:separator/>
      </w:r>
    </w:p>
  </w:footnote>
  <w:footnote w:type="continuationSeparator" w:id="0">
    <w:p w:rsidR="0067746D" w:rsidRDefault="0067746D" w:rsidP="001655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02D" w:rsidRDefault="00593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B094A"/>
    <w:multiLevelType w:val="hybridMultilevel"/>
    <w:tmpl w:val="34AC0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B5053C"/>
    <w:multiLevelType w:val="multilevel"/>
    <w:tmpl w:val="D60C3738"/>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 w15:restartNumberingAfterBreak="0">
    <w:nsid w:val="7F9A1C6A"/>
    <w:multiLevelType w:val="multilevel"/>
    <w:tmpl w:val="AD4CD0DA"/>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3"/>
  </w:num>
  <w:num w:numId="2">
    <w:abstractNumId w:val="0"/>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E8"/>
    <w:rsid w:val="00025424"/>
    <w:rsid w:val="000352D2"/>
    <w:rsid w:val="000634F3"/>
    <w:rsid w:val="000B4885"/>
    <w:rsid w:val="000F1A7A"/>
    <w:rsid w:val="001655E8"/>
    <w:rsid w:val="001D5490"/>
    <w:rsid w:val="00227CED"/>
    <w:rsid w:val="00253416"/>
    <w:rsid w:val="00264C38"/>
    <w:rsid w:val="002B2B48"/>
    <w:rsid w:val="002D0ACE"/>
    <w:rsid w:val="002E5AB9"/>
    <w:rsid w:val="003D5157"/>
    <w:rsid w:val="004E08C8"/>
    <w:rsid w:val="005141C7"/>
    <w:rsid w:val="0051464A"/>
    <w:rsid w:val="005322F4"/>
    <w:rsid w:val="0059302D"/>
    <w:rsid w:val="005A369B"/>
    <w:rsid w:val="005D3DB7"/>
    <w:rsid w:val="00661120"/>
    <w:rsid w:val="0067746D"/>
    <w:rsid w:val="006D360D"/>
    <w:rsid w:val="00724AC4"/>
    <w:rsid w:val="0077199B"/>
    <w:rsid w:val="0077407F"/>
    <w:rsid w:val="00885B23"/>
    <w:rsid w:val="00931391"/>
    <w:rsid w:val="009B04BE"/>
    <w:rsid w:val="009C0CA0"/>
    <w:rsid w:val="00A00A58"/>
    <w:rsid w:val="00A01951"/>
    <w:rsid w:val="00A34760"/>
    <w:rsid w:val="00B56013"/>
    <w:rsid w:val="00BC1BA5"/>
    <w:rsid w:val="00BC7B3C"/>
    <w:rsid w:val="00CC2D87"/>
    <w:rsid w:val="00D04A7C"/>
    <w:rsid w:val="00DE0DB5"/>
    <w:rsid w:val="00DE2FA0"/>
    <w:rsid w:val="00DF66E3"/>
    <w:rsid w:val="00E42ED0"/>
    <w:rsid w:val="00F80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4815C2-2F42-4A86-9E39-B09F2712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55E8"/>
    <w:pPr>
      <w:spacing w:after="220" w:line="240" w:lineRule="auto"/>
    </w:pPr>
    <w:rPr>
      <w:rFonts w:ascii="Times New Roman" w:eastAsia="Times New Roman" w:hAnsi="Times New Roman" w:cs="Times New Roman"/>
      <w:szCs w:val="24"/>
    </w:rPr>
  </w:style>
  <w:style w:type="paragraph" w:styleId="Heading1">
    <w:name w:val="heading 1"/>
    <w:next w:val="Normal"/>
    <w:link w:val="Heading1Char"/>
    <w:qFormat/>
    <w:rsid w:val="001655E8"/>
    <w:pPr>
      <w:keepNext/>
      <w:numPr>
        <w:numId w:val="1"/>
      </w:numPr>
      <w:pBdr>
        <w:top w:val="single" w:sz="12" w:space="1" w:color="auto"/>
      </w:pBdr>
      <w:spacing w:after="220" w:line="240" w:lineRule="auto"/>
      <w:outlineLvl w:val="0"/>
    </w:pPr>
    <w:rPr>
      <w:rFonts w:ascii="Arial" w:eastAsia="Times New Roman" w:hAnsi="Arial" w:cs="Arial"/>
      <w:b/>
      <w:bCs/>
      <w:sz w:val="28"/>
      <w:szCs w:val="32"/>
    </w:rPr>
  </w:style>
  <w:style w:type="paragraph" w:styleId="Heading2">
    <w:name w:val="heading 2"/>
    <w:next w:val="Normal"/>
    <w:link w:val="Heading2Char"/>
    <w:qFormat/>
    <w:rsid w:val="001655E8"/>
    <w:pPr>
      <w:keepNext/>
      <w:numPr>
        <w:ilvl w:val="1"/>
        <w:numId w:val="1"/>
      </w:numPr>
      <w:spacing w:after="220" w:line="240" w:lineRule="auto"/>
      <w:outlineLvl w:val="1"/>
    </w:pPr>
    <w:rPr>
      <w:rFonts w:ascii="Arial" w:eastAsia="Times New Roman" w:hAnsi="Arial" w:cs="Times New Roman"/>
      <w:b/>
      <w:bCs/>
      <w:iCs/>
      <w:sz w:val="24"/>
      <w:szCs w:val="28"/>
    </w:rPr>
  </w:style>
  <w:style w:type="paragraph" w:styleId="Heading3">
    <w:name w:val="heading 3"/>
    <w:basedOn w:val="Normal"/>
    <w:link w:val="Heading3Char"/>
    <w:qFormat/>
    <w:rsid w:val="001655E8"/>
    <w:pPr>
      <w:numPr>
        <w:ilvl w:val="2"/>
        <w:numId w:val="1"/>
      </w:numPr>
      <w:outlineLvl w:val="2"/>
    </w:pPr>
    <w:rPr>
      <w:rFonts w:cs="Arial"/>
      <w:bCs/>
      <w:szCs w:val="26"/>
    </w:rPr>
  </w:style>
  <w:style w:type="paragraph" w:styleId="Heading4">
    <w:name w:val="heading 4"/>
    <w:basedOn w:val="Normal"/>
    <w:link w:val="Heading4Char"/>
    <w:qFormat/>
    <w:rsid w:val="001655E8"/>
    <w:pPr>
      <w:numPr>
        <w:ilvl w:val="3"/>
        <w:numId w:val="1"/>
      </w:numPr>
      <w:outlineLvl w:val="3"/>
    </w:pPr>
    <w:rPr>
      <w:bCs/>
      <w:szCs w:val="28"/>
    </w:rPr>
  </w:style>
  <w:style w:type="paragraph" w:styleId="Heading5">
    <w:name w:val="heading 5"/>
    <w:basedOn w:val="Normal"/>
    <w:link w:val="Heading5Char"/>
    <w:qFormat/>
    <w:rsid w:val="001655E8"/>
    <w:pPr>
      <w:numPr>
        <w:ilvl w:val="4"/>
        <w:numId w:val="1"/>
      </w:numPr>
      <w:outlineLvl w:val="4"/>
    </w:pPr>
    <w:rPr>
      <w:bCs/>
      <w:iCs/>
      <w:szCs w:val="26"/>
    </w:rPr>
  </w:style>
  <w:style w:type="paragraph" w:styleId="Heading6">
    <w:name w:val="heading 6"/>
    <w:basedOn w:val="Normal"/>
    <w:link w:val="Heading6Char"/>
    <w:qFormat/>
    <w:rsid w:val="001655E8"/>
    <w:pPr>
      <w:numPr>
        <w:ilvl w:val="5"/>
        <w:numId w:val="1"/>
      </w:numPr>
      <w:outlineLvl w:val="5"/>
    </w:pPr>
    <w:rPr>
      <w:bCs/>
      <w:szCs w:val="22"/>
    </w:rPr>
  </w:style>
  <w:style w:type="paragraph" w:styleId="Heading7">
    <w:name w:val="heading 7"/>
    <w:basedOn w:val="Normal"/>
    <w:link w:val="Heading7Char"/>
    <w:qFormat/>
    <w:rsid w:val="001655E8"/>
    <w:pPr>
      <w:numPr>
        <w:ilvl w:val="6"/>
        <w:numId w:val="1"/>
      </w:numPr>
      <w:outlineLvl w:val="6"/>
    </w:pPr>
  </w:style>
  <w:style w:type="paragraph" w:styleId="Heading8">
    <w:name w:val="heading 8"/>
    <w:basedOn w:val="Normal"/>
    <w:link w:val="Heading8Char"/>
    <w:qFormat/>
    <w:rsid w:val="001655E8"/>
    <w:pPr>
      <w:numPr>
        <w:ilvl w:val="7"/>
        <w:numId w:val="1"/>
      </w:numPr>
      <w:outlineLvl w:val="7"/>
    </w:pPr>
    <w:rPr>
      <w:iCs/>
    </w:rPr>
  </w:style>
  <w:style w:type="paragraph" w:styleId="Heading9">
    <w:name w:val="heading 9"/>
    <w:basedOn w:val="Normal"/>
    <w:next w:val="Normal"/>
    <w:link w:val="Heading9Char"/>
    <w:qFormat/>
    <w:rsid w:val="001655E8"/>
    <w:pPr>
      <w:keepNext/>
      <w:numPr>
        <w:ilvl w:val="8"/>
        <w:numId w:val="1"/>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5E8"/>
    <w:rPr>
      <w:rFonts w:ascii="Arial" w:eastAsia="Times New Roman" w:hAnsi="Arial" w:cs="Arial"/>
      <w:b/>
      <w:bCs/>
      <w:sz w:val="28"/>
      <w:szCs w:val="32"/>
    </w:rPr>
  </w:style>
  <w:style w:type="character" w:customStyle="1" w:styleId="Heading2Char">
    <w:name w:val="Heading 2 Char"/>
    <w:basedOn w:val="DefaultParagraphFont"/>
    <w:link w:val="Heading2"/>
    <w:rsid w:val="001655E8"/>
    <w:rPr>
      <w:rFonts w:ascii="Arial" w:eastAsia="Times New Roman" w:hAnsi="Arial" w:cs="Times New Roman"/>
      <w:b/>
      <w:bCs/>
      <w:iCs/>
      <w:sz w:val="24"/>
      <w:szCs w:val="28"/>
    </w:rPr>
  </w:style>
  <w:style w:type="character" w:customStyle="1" w:styleId="Heading3Char">
    <w:name w:val="Heading 3 Char"/>
    <w:basedOn w:val="DefaultParagraphFont"/>
    <w:link w:val="Heading3"/>
    <w:rsid w:val="001655E8"/>
    <w:rPr>
      <w:rFonts w:ascii="Times New Roman" w:eastAsia="Times New Roman" w:hAnsi="Times New Roman" w:cs="Arial"/>
      <w:bCs/>
      <w:szCs w:val="26"/>
    </w:rPr>
  </w:style>
  <w:style w:type="character" w:customStyle="1" w:styleId="Heading4Char">
    <w:name w:val="Heading 4 Char"/>
    <w:basedOn w:val="DefaultParagraphFont"/>
    <w:link w:val="Heading4"/>
    <w:rsid w:val="001655E8"/>
    <w:rPr>
      <w:rFonts w:ascii="Times New Roman" w:eastAsia="Times New Roman" w:hAnsi="Times New Roman" w:cs="Times New Roman"/>
      <w:bCs/>
      <w:szCs w:val="28"/>
    </w:rPr>
  </w:style>
  <w:style w:type="character" w:customStyle="1" w:styleId="Heading5Char">
    <w:name w:val="Heading 5 Char"/>
    <w:basedOn w:val="DefaultParagraphFont"/>
    <w:link w:val="Heading5"/>
    <w:rsid w:val="001655E8"/>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1655E8"/>
    <w:rPr>
      <w:rFonts w:ascii="Times New Roman" w:eastAsia="Times New Roman" w:hAnsi="Times New Roman" w:cs="Times New Roman"/>
      <w:bCs/>
    </w:rPr>
  </w:style>
  <w:style w:type="character" w:customStyle="1" w:styleId="Heading7Char">
    <w:name w:val="Heading 7 Char"/>
    <w:basedOn w:val="DefaultParagraphFont"/>
    <w:link w:val="Heading7"/>
    <w:rsid w:val="001655E8"/>
    <w:rPr>
      <w:rFonts w:ascii="Times New Roman" w:eastAsia="Times New Roman" w:hAnsi="Times New Roman" w:cs="Times New Roman"/>
      <w:szCs w:val="24"/>
    </w:rPr>
  </w:style>
  <w:style w:type="character" w:customStyle="1" w:styleId="Heading8Char">
    <w:name w:val="Heading 8 Char"/>
    <w:basedOn w:val="DefaultParagraphFont"/>
    <w:link w:val="Heading8"/>
    <w:rsid w:val="001655E8"/>
    <w:rPr>
      <w:rFonts w:ascii="Times New Roman" w:eastAsia="Times New Roman" w:hAnsi="Times New Roman" w:cs="Times New Roman"/>
      <w:iCs/>
      <w:szCs w:val="24"/>
    </w:rPr>
  </w:style>
  <w:style w:type="character" w:customStyle="1" w:styleId="Heading9Char">
    <w:name w:val="Heading 9 Char"/>
    <w:basedOn w:val="DefaultParagraphFont"/>
    <w:link w:val="Heading9"/>
    <w:rsid w:val="001655E8"/>
    <w:rPr>
      <w:rFonts w:ascii="Arial" w:eastAsia="Times New Roman" w:hAnsi="Arial" w:cs="Arial"/>
      <w:b/>
      <w:sz w:val="24"/>
    </w:rPr>
  </w:style>
  <w:style w:type="paragraph" w:styleId="Title">
    <w:name w:val="Title"/>
    <w:basedOn w:val="Normal"/>
    <w:link w:val="TitleChar"/>
    <w:qFormat/>
    <w:rsid w:val="001655E8"/>
    <w:pPr>
      <w:keepNext/>
    </w:pPr>
    <w:rPr>
      <w:rFonts w:ascii="Arial" w:hAnsi="Arial" w:cs="Arial"/>
      <w:b/>
      <w:bCs/>
      <w:sz w:val="28"/>
      <w:szCs w:val="32"/>
    </w:rPr>
  </w:style>
  <w:style w:type="character" w:customStyle="1" w:styleId="TitleChar">
    <w:name w:val="Title Char"/>
    <w:basedOn w:val="DefaultParagraphFont"/>
    <w:link w:val="Title"/>
    <w:rsid w:val="001655E8"/>
    <w:rPr>
      <w:rFonts w:ascii="Arial" w:eastAsia="Times New Roman" w:hAnsi="Arial" w:cs="Arial"/>
      <w:b/>
      <w:bCs/>
      <w:sz w:val="28"/>
      <w:szCs w:val="32"/>
    </w:rPr>
  </w:style>
  <w:style w:type="paragraph" w:customStyle="1" w:styleId="AttachmentHeading">
    <w:name w:val="Attachment Heading"/>
    <w:basedOn w:val="Normal"/>
    <w:next w:val="Normal"/>
    <w:rsid w:val="001655E8"/>
    <w:pPr>
      <w:pageBreakBefore/>
      <w:numPr>
        <w:numId w:val="3"/>
      </w:numPr>
    </w:pPr>
    <w:rPr>
      <w:rFonts w:ascii="Arial" w:hAnsi="Arial"/>
      <w:b/>
      <w:sz w:val="24"/>
      <w:szCs w:val="22"/>
    </w:rPr>
  </w:style>
  <w:style w:type="paragraph" w:styleId="ListBullet">
    <w:name w:val="List Bullet"/>
    <w:basedOn w:val="Normal"/>
    <w:rsid w:val="001655E8"/>
    <w:pPr>
      <w:numPr>
        <w:numId w:val="4"/>
      </w:numPr>
    </w:pPr>
  </w:style>
  <w:style w:type="paragraph" w:styleId="ListBullet2">
    <w:name w:val="List Bullet 2"/>
    <w:basedOn w:val="Normal"/>
    <w:rsid w:val="001655E8"/>
    <w:pPr>
      <w:numPr>
        <w:ilvl w:val="1"/>
        <w:numId w:val="4"/>
      </w:numPr>
    </w:pPr>
  </w:style>
  <w:style w:type="paragraph" w:styleId="ListBullet3">
    <w:name w:val="List Bullet 3"/>
    <w:basedOn w:val="Normal"/>
    <w:rsid w:val="001655E8"/>
    <w:pPr>
      <w:numPr>
        <w:ilvl w:val="2"/>
        <w:numId w:val="4"/>
      </w:numPr>
    </w:pPr>
  </w:style>
  <w:style w:type="paragraph" w:styleId="ListBullet4">
    <w:name w:val="List Bullet 4"/>
    <w:basedOn w:val="Normal"/>
    <w:rsid w:val="001655E8"/>
    <w:pPr>
      <w:numPr>
        <w:ilvl w:val="3"/>
        <w:numId w:val="4"/>
      </w:numPr>
    </w:pPr>
  </w:style>
  <w:style w:type="paragraph" w:styleId="ListBullet5">
    <w:name w:val="List Bullet 5"/>
    <w:basedOn w:val="Normal"/>
    <w:rsid w:val="001655E8"/>
    <w:pPr>
      <w:numPr>
        <w:ilvl w:val="4"/>
        <w:numId w:val="4"/>
      </w:numPr>
    </w:pPr>
  </w:style>
  <w:style w:type="paragraph" w:customStyle="1" w:styleId="IndentParaLevel1">
    <w:name w:val="IndentParaLevel1"/>
    <w:basedOn w:val="Normal"/>
    <w:link w:val="IndentParaLevel1Char"/>
    <w:rsid w:val="001655E8"/>
    <w:pPr>
      <w:ind w:left="964"/>
    </w:pPr>
  </w:style>
  <w:style w:type="paragraph" w:customStyle="1" w:styleId="SubtitleTNR">
    <w:name w:val="Subtitle_TNR"/>
    <w:basedOn w:val="Normal"/>
    <w:rsid w:val="001655E8"/>
    <w:pPr>
      <w:keepNext/>
    </w:pPr>
    <w:rPr>
      <w:b/>
      <w:sz w:val="24"/>
    </w:rPr>
  </w:style>
  <w:style w:type="character" w:customStyle="1" w:styleId="IndentParaLevel1Char">
    <w:name w:val="IndentParaLevel1 Char"/>
    <w:basedOn w:val="DefaultParagraphFont"/>
    <w:link w:val="IndentParaLevel1"/>
    <w:rsid w:val="001655E8"/>
    <w:rPr>
      <w:rFonts w:ascii="Times New Roman" w:eastAsia="Times New Roman" w:hAnsi="Times New Roman" w:cs="Times New Roman"/>
      <w:szCs w:val="24"/>
    </w:rPr>
  </w:style>
  <w:style w:type="paragraph" w:customStyle="1" w:styleId="wordsection1">
    <w:name w:val="wordsection1"/>
    <w:basedOn w:val="Normal"/>
    <w:uiPriority w:val="99"/>
    <w:rsid w:val="001655E8"/>
    <w:pPr>
      <w:spacing w:after="0"/>
    </w:pPr>
    <w:rPr>
      <w:rFonts w:eastAsia="Calibri"/>
      <w:sz w:val="24"/>
      <w:lang w:eastAsia="en-AU"/>
    </w:rPr>
  </w:style>
  <w:style w:type="paragraph" w:styleId="Header">
    <w:name w:val="header"/>
    <w:basedOn w:val="Normal"/>
    <w:link w:val="HeaderChar"/>
    <w:uiPriority w:val="99"/>
    <w:unhideWhenUsed/>
    <w:rsid w:val="001655E8"/>
    <w:pPr>
      <w:tabs>
        <w:tab w:val="center" w:pos="4513"/>
        <w:tab w:val="right" w:pos="9026"/>
      </w:tabs>
      <w:spacing w:after="0"/>
    </w:pPr>
  </w:style>
  <w:style w:type="character" w:customStyle="1" w:styleId="HeaderChar">
    <w:name w:val="Header Char"/>
    <w:basedOn w:val="DefaultParagraphFont"/>
    <w:link w:val="Header"/>
    <w:uiPriority w:val="99"/>
    <w:rsid w:val="001655E8"/>
    <w:rPr>
      <w:rFonts w:ascii="Times New Roman" w:eastAsia="Times New Roman" w:hAnsi="Times New Roman" w:cs="Times New Roman"/>
      <w:szCs w:val="24"/>
    </w:rPr>
  </w:style>
  <w:style w:type="paragraph" w:styleId="Footer">
    <w:name w:val="footer"/>
    <w:basedOn w:val="Normal"/>
    <w:link w:val="FooterChar"/>
    <w:uiPriority w:val="99"/>
    <w:unhideWhenUsed/>
    <w:rsid w:val="001655E8"/>
    <w:pPr>
      <w:tabs>
        <w:tab w:val="center" w:pos="4513"/>
        <w:tab w:val="right" w:pos="9026"/>
      </w:tabs>
      <w:spacing w:after="0"/>
    </w:pPr>
  </w:style>
  <w:style w:type="character" w:customStyle="1" w:styleId="FooterChar">
    <w:name w:val="Footer Char"/>
    <w:basedOn w:val="DefaultParagraphFont"/>
    <w:link w:val="Footer"/>
    <w:uiPriority w:val="99"/>
    <w:rsid w:val="001655E8"/>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347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6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91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CCB2-6700-4A01-878F-7521C571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9E2CE145.dotm</Template>
  <TotalTime>2</TotalTime>
  <Pages>1</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ServiceFirst</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Debrincat</dc:creator>
  <cp:lastModifiedBy>Peter Kim</cp:lastModifiedBy>
  <cp:revision>4</cp:revision>
  <cp:lastPrinted>2017-03-01T00:36:00Z</cp:lastPrinted>
  <dcterms:created xsi:type="dcterms:W3CDTF">2017-03-01T00:44:00Z</dcterms:created>
  <dcterms:modified xsi:type="dcterms:W3CDTF">2017-04-12T06:38:00Z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A2686356</vt:lpwstr>
  </property>
  <property fmtid="{D5CDD505-2E9C-101B-9397-08002B2CF9AE}" pid="4" name="Objective-Title">
    <vt:lpwstr>101114 EN Morisset clean</vt:lpwstr>
  </property>
  <property fmtid="{D5CDD505-2E9C-101B-9397-08002B2CF9AE}" pid="5" name="Objective-Comment">
    <vt:lpwstr>Message registered by Susan Blake on Wednesday, 15 April 2015 01:35:15 PM</vt:lpwstr>
  </property>
  <property fmtid="{D5CDD505-2E9C-101B-9397-08002B2CF9AE}" pid="6" name="Objective-CreationStamp">
    <vt:filetime>2015-04-15T03:35:19Z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2015-04-15T03:35:20Z</vt:filetime>
  </property>
  <property fmtid="{D5CDD505-2E9C-101B-9397-08002B2CF9AE}" pid="11" name="Objective-Owner">
    <vt:lpwstr>Susan Blake</vt:lpwstr>
  </property>
  <property fmtid="{D5CDD505-2E9C-101B-9397-08002B2CF9AE}" pid="12" name="Objective-Path">
    <vt:lpwstr>Objective Global Folder:1. Planning &amp; Environment (DP&amp;E):1. Planning &amp; Environment File Plan (DP&amp;E):PLANNING SYSTEM OPERATIONS MANAGEMENT:PLANNING ACTIVITY - HUNTER CENTRAL COAST:Lake Macquarie:State Infrastructure Levies and Planning Agreements - Execute</vt:lpwstr>
  </property>
  <property fmtid="{D5CDD505-2E9C-101B-9397-08002B2CF9AE}" pid="13" name="Objective-Parent">
    <vt:lpwstr>06. Internal Correspondence / Advice</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14/13009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
  </property>
  <property fmtid="{D5CDD505-2E9C-101B-9397-08002B2CF9AE}" pid="22" name="Objective-DLM [system]">
    <vt:lpwstr/>
  </property>
  <property fmtid="{D5CDD505-2E9C-101B-9397-08002B2CF9AE}" pid="23" name="Objective-Vital Record [system]">
    <vt:lpwstr/>
  </property>
</Properties>
</file>